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3" w14:textId="4D457964" w:rsidR="00542F5A" w:rsidRPr="002C44A0" w:rsidRDefault="00CA04CE" w:rsidP="008668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2C44A0">
        <w:rPr>
          <w:rFonts w:asciiTheme="majorHAnsi" w:hAnsiTheme="majorHAnsi" w:cstheme="majorHAnsi"/>
          <w:b/>
          <w:sz w:val="24"/>
          <w:szCs w:val="24"/>
        </w:rPr>
        <w:t>JOB DESCRIPTION</w:t>
      </w: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98"/>
        <w:gridCol w:w="3264"/>
        <w:gridCol w:w="3864"/>
        <w:gridCol w:w="4086"/>
        <w:gridCol w:w="2074"/>
      </w:tblGrid>
      <w:tr w:rsidR="00542F5A" w:rsidRPr="002C44A0" w14:paraId="5AB053AB" w14:textId="77777777" w:rsidTr="00866884">
        <w:trPr>
          <w:trHeight w:val="388"/>
        </w:trPr>
        <w:tc>
          <w:tcPr>
            <w:tcW w:w="5926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0000004" w14:textId="771BB1CD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Post Title: </w:t>
            </w:r>
            <w:r w:rsidR="002C44A0" w:rsidRPr="002C44A0">
              <w:rPr>
                <w:rFonts w:asciiTheme="majorHAnsi" w:hAnsiTheme="majorHAnsi" w:cstheme="majorHAnsi"/>
                <w:sz w:val="24"/>
                <w:szCs w:val="24"/>
              </w:rPr>
              <w:t>Non-Supervisory</w:t>
            </w: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Caretaker </w:t>
            </w:r>
          </w:p>
        </w:tc>
        <w:tc>
          <w:tcPr>
            <w:tcW w:w="7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007" w14:textId="363EDA56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Director/Service/Sector: </w:t>
            </w:r>
            <w:proofErr w:type="spellStart"/>
            <w:r w:rsidR="002C44A0"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Humshaugh</w:t>
            </w:r>
            <w:proofErr w:type="spellEnd"/>
            <w:r w:rsidR="002C44A0"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C of E (Aided) First</w:t>
            </w: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009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Office Use</w:t>
            </w:r>
          </w:p>
        </w:tc>
      </w:tr>
      <w:tr w:rsidR="00542F5A" w:rsidRPr="002C44A0" w14:paraId="77E3220D" w14:textId="77777777" w:rsidTr="00866884">
        <w:trPr>
          <w:trHeight w:val="293"/>
        </w:trPr>
        <w:tc>
          <w:tcPr>
            <w:tcW w:w="5926" w:type="dxa"/>
            <w:gridSpan w:val="4"/>
            <w:tcBorders>
              <w:right w:val="single" w:sz="4" w:space="0" w:color="000000" w:themeColor="text1"/>
            </w:tcBorders>
          </w:tcPr>
          <w:p w14:paraId="0000000A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Band: 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9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00D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Workplace: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  Site based</w:t>
            </w:r>
          </w:p>
        </w:tc>
        <w:tc>
          <w:tcPr>
            <w:tcW w:w="20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00F" w14:textId="77777777" w:rsidR="00542F5A" w:rsidRPr="002C44A0" w:rsidRDefault="2237F889" w:rsidP="2237F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 ref: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 SG53</w:t>
            </w:r>
          </w:p>
          <w:p w14:paraId="00000010" w14:textId="77777777" w:rsidR="00542F5A" w:rsidRPr="002C44A0" w:rsidRDefault="00542F5A" w:rsidP="2237F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542F5A" w:rsidRPr="002C44A0" w14:paraId="75CFB350" w14:textId="77777777" w:rsidTr="2237F889">
        <w:trPr>
          <w:trHeight w:val="380"/>
        </w:trPr>
        <w:tc>
          <w:tcPr>
            <w:tcW w:w="5926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1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Responsible to: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38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4" w14:textId="7BA9A0E6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  <w:r w:rsidR="002C44A0"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To start January 2022</w:t>
            </w:r>
          </w:p>
        </w:tc>
        <w:tc>
          <w:tcPr>
            <w:tcW w:w="4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5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Lead &amp; Man Induction:</w:t>
            </w:r>
          </w:p>
        </w:tc>
        <w:tc>
          <w:tcPr>
            <w:tcW w:w="2074" w:type="dxa"/>
            <w:vMerge/>
          </w:tcPr>
          <w:p w14:paraId="00000016" w14:textId="77777777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2F5A" w:rsidRPr="002C44A0" w14:paraId="0B6135CD" w14:textId="77777777" w:rsidTr="2237F889">
        <w:tc>
          <w:tcPr>
            <w:tcW w:w="15950" w:type="dxa"/>
            <w:gridSpan w:val="7"/>
            <w:tcBorders>
              <w:bottom w:val="single" w:sz="4" w:space="0" w:color="000000" w:themeColor="text1"/>
            </w:tcBorders>
          </w:tcPr>
          <w:p w14:paraId="00000017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Job Purpose: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To provide Caretaking Services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42F5A" w:rsidRPr="002C44A0" w14:paraId="2CCEBA8B" w14:textId="77777777" w:rsidTr="2237F889">
        <w:trPr>
          <w:trHeight w:val="300"/>
        </w:trPr>
        <w:tc>
          <w:tcPr>
            <w:tcW w:w="1342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00001D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E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Staff</w:t>
            </w:r>
          </w:p>
        </w:tc>
        <w:tc>
          <w:tcPr>
            <w:tcW w:w="13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F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</w:tc>
      </w:tr>
      <w:tr w:rsidR="00542F5A" w:rsidRPr="002C44A0" w14:paraId="61D5B419" w14:textId="77777777" w:rsidTr="2237F889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 w:themeColor="text1"/>
            </w:tcBorders>
          </w:tcPr>
          <w:p w14:paraId="00000023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Finance</w:t>
            </w:r>
          </w:p>
        </w:tc>
        <w:tc>
          <w:tcPr>
            <w:tcW w:w="13386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0000025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</w:tc>
      </w:tr>
      <w:tr w:rsidR="00542F5A" w:rsidRPr="002C44A0" w14:paraId="37ECF13E" w14:textId="77777777" w:rsidTr="2237F889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 w:themeColor="text1"/>
            </w:tcBorders>
          </w:tcPr>
          <w:p w14:paraId="00000029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Physical</w:t>
            </w:r>
          </w:p>
        </w:tc>
        <w:tc>
          <w:tcPr>
            <w:tcW w:w="13386" w:type="dxa"/>
            <w:gridSpan w:val="5"/>
            <w:tcBorders>
              <w:bottom w:val="single" w:sz="4" w:space="0" w:color="000000" w:themeColor="text1"/>
            </w:tcBorders>
          </w:tcPr>
          <w:p w14:paraId="0000002B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Shared responsibility for the careful use of equipment.  Stock control and ordering.  Site security.</w:t>
            </w:r>
          </w:p>
        </w:tc>
      </w:tr>
      <w:tr w:rsidR="00542F5A" w:rsidRPr="002C44A0" w14:paraId="410744F3" w14:textId="77777777" w:rsidTr="2237F889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 w:themeColor="text1"/>
            </w:tcBorders>
          </w:tcPr>
          <w:p w14:paraId="0000002F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Clients</w:t>
            </w:r>
          </w:p>
        </w:tc>
        <w:tc>
          <w:tcPr>
            <w:tcW w:w="13386" w:type="dxa"/>
            <w:gridSpan w:val="5"/>
            <w:tcBorders>
              <w:bottom w:val="single" w:sz="4" w:space="0" w:color="000000" w:themeColor="text1"/>
            </w:tcBorders>
          </w:tcPr>
          <w:p w14:paraId="00000031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Providing a caretaking service to internal and external clients</w:t>
            </w:r>
          </w:p>
        </w:tc>
      </w:tr>
      <w:tr w:rsidR="00542F5A" w:rsidRPr="002C44A0" w14:paraId="3B400A38" w14:textId="77777777" w:rsidTr="2237F889">
        <w:tc>
          <w:tcPr>
            <w:tcW w:w="15950" w:type="dxa"/>
            <w:gridSpan w:val="7"/>
            <w:tcBorders>
              <w:top w:val="single" w:sz="4" w:space="0" w:color="000000" w:themeColor="text1"/>
            </w:tcBorders>
          </w:tcPr>
          <w:p w14:paraId="00000036" w14:textId="1239CC2D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Duties and key result areas: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  Carried out in accordance with the school specification and normally u</w:t>
            </w:r>
            <w:r w:rsidR="002C44A0">
              <w:rPr>
                <w:rFonts w:asciiTheme="majorHAnsi" w:hAnsiTheme="majorHAnsi" w:cstheme="majorHAnsi"/>
                <w:sz w:val="24"/>
                <w:szCs w:val="24"/>
              </w:rPr>
              <w:t xml:space="preserve">nder the general direction of the </w:t>
            </w:r>
            <w:proofErr w:type="spellStart"/>
            <w:r w:rsidR="002C44A0">
              <w:rPr>
                <w:rFonts w:asciiTheme="majorHAnsi" w:hAnsiTheme="majorHAnsi" w:cstheme="majorHAnsi"/>
                <w:sz w:val="24"/>
                <w:szCs w:val="24"/>
              </w:rPr>
              <w:t>Headteacher</w:t>
            </w:r>
            <w:proofErr w:type="spellEnd"/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, these include, but are not restricted to:-</w:t>
            </w:r>
          </w:p>
          <w:p w14:paraId="00000037" w14:textId="77777777" w:rsidR="00542F5A" w:rsidRPr="002C44A0" w:rsidRDefault="00CA0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Ensure self and colleagues comply with Health and Safety legislation and other school policies and procedures.</w:t>
            </w:r>
          </w:p>
          <w:p w14:paraId="00000038" w14:textId="77777777" w:rsidR="00542F5A" w:rsidRPr="002C44A0" w:rsidRDefault="00CA0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Responsible for the security of the property and ensuring required access is available.</w:t>
            </w:r>
          </w:p>
          <w:p w14:paraId="0000003A" w14:textId="26B8CD6A" w:rsidR="00542F5A" w:rsidRPr="002C44A0" w:rsidRDefault="002C44A0" w:rsidP="002C44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Carry out mid-</w:t>
            </w:r>
            <w:r w:rsidR="00CA04CE" w:rsidRPr="002C44A0">
              <w:rPr>
                <w:rFonts w:asciiTheme="majorHAnsi" w:hAnsiTheme="majorHAnsi" w:cstheme="majorHAnsi"/>
                <w:sz w:val="24"/>
                <w:szCs w:val="24"/>
              </w:rPr>
              <w:t>week lettings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(if applicable)</w:t>
            </w:r>
          </w:p>
          <w:p w14:paraId="0000003B" w14:textId="00DED4C7" w:rsidR="00542F5A" w:rsidRPr="002C44A0" w:rsidRDefault="00CA0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Ensure </w:t>
            </w:r>
            <w:r w:rsidR="002C44A0">
              <w:rPr>
                <w:rFonts w:asciiTheme="majorHAnsi" w:hAnsiTheme="majorHAnsi" w:cstheme="majorHAnsi"/>
                <w:sz w:val="24"/>
                <w:szCs w:val="24"/>
              </w:rPr>
              <w:t>high standards of cleaning are maintained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 and undertake cleaning related tasks as required.</w:t>
            </w:r>
          </w:p>
          <w:p w14:paraId="0000003C" w14:textId="77777777" w:rsidR="00542F5A" w:rsidRPr="002C44A0" w:rsidRDefault="00CA0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Operation and maintenance of heating and associated tasks.</w:t>
            </w:r>
          </w:p>
          <w:p w14:paraId="0000003D" w14:textId="63D6F3C5" w:rsidR="00542F5A" w:rsidRPr="002C44A0" w:rsidRDefault="002C44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Monitor usage of utilities (oil</w:t>
            </w:r>
            <w:r w:rsidR="00CA04CE" w:rsidRPr="002C44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electric etc.).</w:t>
            </w:r>
          </w:p>
          <w:p w14:paraId="0000003E" w14:textId="77777777" w:rsidR="00542F5A" w:rsidRPr="002C44A0" w:rsidRDefault="00CA0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Monitor and report the general condition of the property, undertake minor repairs and ensure routine maintenance /DIY tasks are carried out in a timely manner. </w:t>
            </w:r>
          </w:p>
          <w:p w14:paraId="0000003F" w14:textId="26BB0A76" w:rsidR="00542F5A" w:rsidRPr="002C44A0" w:rsidRDefault="00CA0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Ensure that all ventilation, access and exit points operate effectively and that </w:t>
            </w:r>
            <w:r w:rsidR="002C44A0" w:rsidRPr="002C44A0">
              <w:rPr>
                <w:rFonts w:asciiTheme="majorHAnsi" w:hAnsiTheme="majorHAnsi" w:cstheme="majorHAnsi"/>
                <w:sz w:val="24"/>
                <w:szCs w:val="24"/>
              </w:rPr>
              <w:t>firefighting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 appliances are readily accessible and properly maintained.</w:t>
            </w:r>
          </w:p>
          <w:p w14:paraId="00000040" w14:textId="708D253C" w:rsidR="00542F5A" w:rsidRPr="002C44A0" w:rsidRDefault="00CA0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Ensure that external areas of the property are kept free from litter and debris, bins are emptied regularly and main access routes and agreed areas are kept clear of leaves, </w:t>
            </w:r>
            <w:r w:rsidR="002C44A0">
              <w:rPr>
                <w:rFonts w:asciiTheme="majorHAnsi" w:hAnsiTheme="majorHAnsi" w:cstheme="majorHAnsi"/>
                <w:sz w:val="24"/>
                <w:szCs w:val="24"/>
              </w:rPr>
              <w:t xml:space="preserve">weeds, nettles, 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snow and ice.</w:t>
            </w:r>
          </w:p>
          <w:p w14:paraId="00000041" w14:textId="10BB7A48" w:rsidR="00542F5A" w:rsidRPr="002C44A0" w:rsidRDefault="002C44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Undertake porterage tasks e.g. putting staging up when needed</w:t>
            </w:r>
          </w:p>
          <w:p w14:paraId="00000042" w14:textId="77777777" w:rsidR="00542F5A" w:rsidRPr="002C44A0" w:rsidRDefault="00CA0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Stock management, ordering of cleaning materials and assist with the receipt and safe storage of goods</w:t>
            </w:r>
          </w:p>
          <w:p w14:paraId="00000043" w14:textId="77777777" w:rsidR="00542F5A" w:rsidRPr="002C44A0" w:rsidRDefault="00CA0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Ensure that all janitorial equipment is fit for purpose and properly maintained</w:t>
            </w:r>
          </w:p>
          <w:p w14:paraId="00000049" w14:textId="46051D65" w:rsidR="00542F5A" w:rsidRPr="00866884" w:rsidRDefault="00CA04CE" w:rsidP="00866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Attend training events as and when required.</w:t>
            </w:r>
          </w:p>
        </w:tc>
      </w:tr>
      <w:tr w:rsidR="00542F5A" w:rsidRPr="002C44A0" w14:paraId="3403B44B" w14:textId="77777777" w:rsidTr="2237F889">
        <w:tc>
          <w:tcPr>
            <w:tcW w:w="15950" w:type="dxa"/>
            <w:gridSpan w:val="7"/>
            <w:tcBorders>
              <w:top w:val="single" w:sz="4" w:space="0" w:color="000000" w:themeColor="text1"/>
            </w:tcBorders>
          </w:tcPr>
          <w:p w14:paraId="0000004F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Work Arrangements</w:t>
            </w:r>
          </w:p>
        </w:tc>
      </w:tr>
      <w:tr w:rsidR="00542F5A" w:rsidRPr="002C44A0" w14:paraId="341E3BCD" w14:textId="77777777" w:rsidTr="00866884">
        <w:trPr>
          <w:trHeight w:val="340"/>
        </w:trPr>
        <w:tc>
          <w:tcPr>
            <w:tcW w:w="266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055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Physical requirements</w:t>
            </w:r>
          </w:p>
          <w:p w14:paraId="00000056" w14:textId="01A8567D" w:rsidR="00542F5A" w:rsidRPr="002C44A0" w:rsidRDefault="00866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Transport </w:t>
            </w:r>
            <w:r w:rsidR="00CA04CE" w:rsidRPr="002C44A0">
              <w:rPr>
                <w:rFonts w:asciiTheme="majorHAnsi" w:hAnsiTheme="majorHAnsi" w:cstheme="majorHAnsi"/>
                <w:sz w:val="24"/>
                <w:szCs w:val="24"/>
              </w:rPr>
              <w:t>requirements:</w:t>
            </w:r>
          </w:p>
          <w:p w14:paraId="00000057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Working patterns:</w:t>
            </w:r>
          </w:p>
          <w:p w14:paraId="00000058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Working Conditions</w:t>
            </w:r>
          </w:p>
        </w:tc>
        <w:tc>
          <w:tcPr>
            <w:tcW w:w="1328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05A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An active role involving walking, stretching and lifting vacuum cleaners and polishers.</w:t>
            </w:r>
          </w:p>
          <w:p w14:paraId="0000005B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  <w:p w14:paraId="0000005C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Determined by designated area, usage and contract of employment.</w:t>
            </w:r>
          </w:p>
          <w:p w14:paraId="0000005D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Some outdoor work, gritting in Winter. Some exposure to cleaning agents but under controlled circumstances.</w:t>
            </w:r>
          </w:p>
        </w:tc>
      </w:tr>
    </w:tbl>
    <w:p w14:paraId="00000061" w14:textId="77777777" w:rsidR="00542F5A" w:rsidRPr="002C44A0" w:rsidRDefault="00542F5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62" w14:textId="13EE5536" w:rsidR="00542F5A" w:rsidRPr="002C44A0" w:rsidRDefault="00CA0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2C44A0">
        <w:rPr>
          <w:rFonts w:asciiTheme="majorHAnsi" w:hAnsiTheme="majorHAnsi" w:cstheme="majorHAnsi"/>
          <w:sz w:val="24"/>
          <w:szCs w:val="24"/>
        </w:rPr>
        <w:br w:type="page"/>
      </w:r>
      <w:r w:rsidRPr="002C44A0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</w:p>
    <w:p w14:paraId="00000063" w14:textId="77777777" w:rsidR="00542F5A" w:rsidRPr="002C44A0" w:rsidRDefault="00CA0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2C44A0">
        <w:rPr>
          <w:rFonts w:asciiTheme="majorHAnsi" w:hAnsiTheme="majorHAnsi" w:cstheme="majorHAnsi"/>
          <w:b/>
          <w:sz w:val="24"/>
          <w:szCs w:val="24"/>
        </w:rPr>
        <w:t>PERSON SPECIFICATION</w:t>
      </w:r>
    </w:p>
    <w:p w14:paraId="00000064" w14:textId="77777777" w:rsidR="00542F5A" w:rsidRPr="002C44A0" w:rsidRDefault="00542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855"/>
        <w:gridCol w:w="39"/>
        <w:gridCol w:w="917"/>
      </w:tblGrid>
      <w:tr w:rsidR="00542F5A" w:rsidRPr="002C44A0" w14:paraId="3054399E" w14:textId="77777777" w:rsidTr="00866884">
        <w:tc>
          <w:tcPr>
            <w:tcW w:w="8139" w:type="dxa"/>
          </w:tcPr>
          <w:p w14:paraId="00000065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Post Title: 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Caretaker</w:t>
            </w:r>
          </w:p>
        </w:tc>
        <w:tc>
          <w:tcPr>
            <w:tcW w:w="6855" w:type="dxa"/>
          </w:tcPr>
          <w:p w14:paraId="00000066" w14:textId="30A9CEC9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Director/Service/Sector:  </w:t>
            </w:r>
            <w:proofErr w:type="spellStart"/>
            <w:r w:rsidR="00866884"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Humshaugh</w:t>
            </w:r>
            <w:proofErr w:type="spellEnd"/>
            <w:r w:rsidR="00866884"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C of E (Aided) First School</w:t>
            </w:r>
          </w:p>
        </w:tc>
        <w:tc>
          <w:tcPr>
            <w:tcW w:w="956" w:type="dxa"/>
            <w:gridSpan w:val="2"/>
          </w:tcPr>
          <w:p w14:paraId="00000067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Ref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: SG53</w:t>
            </w:r>
          </w:p>
        </w:tc>
      </w:tr>
      <w:tr w:rsidR="00542F5A" w:rsidRPr="002C44A0" w14:paraId="14F122DF" w14:textId="77777777" w:rsidTr="00866884">
        <w:tc>
          <w:tcPr>
            <w:tcW w:w="8139" w:type="dxa"/>
          </w:tcPr>
          <w:p w14:paraId="00000069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Essential</w:t>
            </w:r>
          </w:p>
        </w:tc>
        <w:tc>
          <w:tcPr>
            <w:tcW w:w="6855" w:type="dxa"/>
          </w:tcPr>
          <w:p w14:paraId="0000006A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Desirable</w:t>
            </w:r>
          </w:p>
        </w:tc>
        <w:tc>
          <w:tcPr>
            <w:tcW w:w="956" w:type="dxa"/>
            <w:gridSpan w:val="2"/>
          </w:tcPr>
          <w:p w14:paraId="0000006B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Assess by</w:t>
            </w:r>
          </w:p>
        </w:tc>
      </w:tr>
      <w:tr w:rsidR="00542F5A" w:rsidRPr="002C44A0" w14:paraId="5D98F02F" w14:textId="77777777">
        <w:tc>
          <w:tcPr>
            <w:tcW w:w="15950" w:type="dxa"/>
            <w:gridSpan w:val="4"/>
          </w:tcPr>
          <w:p w14:paraId="0000006D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Qualifications and Knowledge</w:t>
            </w:r>
          </w:p>
        </w:tc>
      </w:tr>
      <w:tr w:rsidR="00542F5A" w:rsidRPr="002C44A0" w14:paraId="6FF94041" w14:textId="77777777">
        <w:tc>
          <w:tcPr>
            <w:tcW w:w="8139" w:type="dxa"/>
          </w:tcPr>
          <w:p w14:paraId="00000071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Considerable knowledge of a broad range of practical tasks associated with a caretaking environment together with the operation of associated tools and equipment.</w:t>
            </w:r>
          </w:p>
          <w:p w14:paraId="00000072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Knowledge of Health &amp; Safety legislation relating to a caretaking environment.</w:t>
            </w:r>
          </w:p>
        </w:tc>
        <w:tc>
          <w:tcPr>
            <w:tcW w:w="6894" w:type="dxa"/>
            <w:gridSpan w:val="2"/>
          </w:tcPr>
          <w:p w14:paraId="00000073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NVQ in General Maintenance and Housekeeping or equivalent.</w:t>
            </w:r>
          </w:p>
          <w:p w14:paraId="00000074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British Institute Of Cleaning Science assessor’s qualification or equivalent.</w:t>
            </w:r>
          </w:p>
          <w:p w14:paraId="00000075" w14:textId="77777777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7" w:type="dxa"/>
          </w:tcPr>
          <w:p w14:paraId="00000077" w14:textId="77777777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2F5A" w:rsidRPr="002C44A0" w14:paraId="718EE1A2" w14:textId="77777777">
        <w:tc>
          <w:tcPr>
            <w:tcW w:w="15950" w:type="dxa"/>
            <w:gridSpan w:val="4"/>
          </w:tcPr>
          <w:p w14:paraId="00000078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Experience</w:t>
            </w:r>
          </w:p>
        </w:tc>
      </w:tr>
      <w:tr w:rsidR="00542F5A" w:rsidRPr="002C44A0" w14:paraId="21FA9B81" w14:textId="77777777">
        <w:tc>
          <w:tcPr>
            <w:tcW w:w="8139" w:type="dxa"/>
          </w:tcPr>
          <w:p w14:paraId="0000007C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Previous relevant experience in a similar or related role.</w:t>
            </w:r>
          </w:p>
        </w:tc>
        <w:tc>
          <w:tcPr>
            <w:tcW w:w="6894" w:type="dxa"/>
            <w:gridSpan w:val="2"/>
          </w:tcPr>
          <w:p w14:paraId="0000007D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Relevant experience in a caretaking environment.</w:t>
            </w:r>
          </w:p>
          <w:p w14:paraId="0000007E" w14:textId="7D6EC50A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7" w:type="dxa"/>
          </w:tcPr>
          <w:p w14:paraId="00000080" w14:textId="77777777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2F5A" w:rsidRPr="002C44A0" w14:paraId="79BD73D9" w14:textId="77777777">
        <w:tc>
          <w:tcPr>
            <w:tcW w:w="15950" w:type="dxa"/>
            <w:gridSpan w:val="4"/>
          </w:tcPr>
          <w:p w14:paraId="00000081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Skills and competencies</w:t>
            </w:r>
          </w:p>
        </w:tc>
      </w:tr>
      <w:tr w:rsidR="00542F5A" w:rsidRPr="002C44A0" w14:paraId="640189CE" w14:textId="77777777">
        <w:tc>
          <w:tcPr>
            <w:tcW w:w="8139" w:type="dxa"/>
          </w:tcPr>
          <w:p w14:paraId="00000085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Literacy skills sufficient to read text and write straightforward sentences.</w:t>
            </w:r>
          </w:p>
          <w:p w14:paraId="00000086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Numeracy skills sufficient to undertake straightforward arithmetic functions.</w:t>
            </w:r>
          </w:p>
          <w:p w14:paraId="00000087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Strength, dexterity and co-ordination to use a range of cleaning tools and equipment.</w:t>
            </w:r>
          </w:p>
          <w:p w14:paraId="00000088" w14:textId="18EE799E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Ability to </w:t>
            </w:r>
            <w:proofErr w:type="spellStart"/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organise</w:t>
            </w:r>
            <w:proofErr w:type="spellEnd"/>
            <w:r w:rsidR="00AC087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resources, including effective use of own time.</w:t>
            </w:r>
          </w:p>
          <w:p w14:paraId="00000089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Resourceful and works with initiative and without constant supervision.</w:t>
            </w:r>
          </w:p>
          <w:p w14:paraId="0000008A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Listens, consults others and communicates clearly.</w:t>
            </w:r>
          </w:p>
          <w:p w14:paraId="0000008B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Customer care skills.</w:t>
            </w:r>
          </w:p>
          <w:p w14:paraId="0000008C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Appropriately follows instructions to achieve set objectives.</w:t>
            </w:r>
          </w:p>
          <w:p w14:paraId="0000008D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Reliable and keeps good time.</w:t>
            </w:r>
          </w:p>
          <w:p w14:paraId="0000008E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Committed to the provision of quality services to achieve customer satisfaction. </w:t>
            </w:r>
          </w:p>
          <w:p w14:paraId="0000008F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Adapts to change by adopting a flexible and cooperative attitude.</w:t>
            </w:r>
          </w:p>
          <w:p w14:paraId="00000090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Supportive and adapts to team working.</w:t>
            </w:r>
          </w:p>
          <w:p w14:paraId="00000091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Demonstrates integrity and upholds values and principles.</w:t>
            </w:r>
            <w:bookmarkStart w:id="0" w:name="_GoBack"/>
            <w:bookmarkEnd w:id="0"/>
          </w:p>
          <w:p w14:paraId="00000092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Promotes equal opportunities and diversity in all aspects of work.</w:t>
            </w:r>
          </w:p>
          <w:p w14:paraId="00000093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A willingness to undertake job related training.</w:t>
            </w:r>
          </w:p>
        </w:tc>
        <w:tc>
          <w:tcPr>
            <w:tcW w:w="6894" w:type="dxa"/>
            <w:gridSpan w:val="2"/>
          </w:tcPr>
          <w:p w14:paraId="00000094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Experience of providing basic training, induction etc.</w:t>
            </w:r>
          </w:p>
        </w:tc>
        <w:tc>
          <w:tcPr>
            <w:tcW w:w="917" w:type="dxa"/>
          </w:tcPr>
          <w:p w14:paraId="00000096" w14:textId="77777777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2F5A" w:rsidRPr="002C44A0" w14:paraId="1AC56D3A" w14:textId="77777777">
        <w:tc>
          <w:tcPr>
            <w:tcW w:w="15950" w:type="dxa"/>
            <w:gridSpan w:val="4"/>
          </w:tcPr>
          <w:p w14:paraId="00000097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Physical, mental, emotional and environmental demands</w:t>
            </w:r>
          </w:p>
        </w:tc>
      </w:tr>
      <w:tr w:rsidR="00542F5A" w:rsidRPr="002C44A0" w14:paraId="4455B977" w14:textId="77777777">
        <w:tc>
          <w:tcPr>
            <w:tcW w:w="8139" w:type="dxa"/>
          </w:tcPr>
          <w:p w14:paraId="0000009B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Work from a standing position, need to walk, bend, lift and carry moderate weights.</w:t>
            </w:r>
          </w:p>
          <w:p w14:paraId="0000009C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Short periods of concentration dispersed throughout day, week and month.</w:t>
            </w:r>
          </w:p>
          <w:p w14:paraId="0000009D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Few emotional demands.</w:t>
            </w:r>
          </w:p>
          <w:p w14:paraId="0000009E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>Mainly indoors but with some external work and some exposure to unpleasant conditions such as toilet areas.</w:t>
            </w:r>
          </w:p>
        </w:tc>
        <w:tc>
          <w:tcPr>
            <w:tcW w:w="6894" w:type="dxa"/>
            <w:gridSpan w:val="2"/>
          </w:tcPr>
          <w:p w14:paraId="0000009F" w14:textId="77777777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7" w:type="dxa"/>
          </w:tcPr>
          <w:p w14:paraId="000000A1" w14:textId="77777777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2F5A" w:rsidRPr="002C44A0" w14:paraId="67AC7CDD" w14:textId="77777777">
        <w:tc>
          <w:tcPr>
            <w:tcW w:w="15950" w:type="dxa"/>
            <w:gridSpan w:val="4"/>
          </w:tcPr>
          <w:p w14:paraId="000000A2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b/>
                <w:sz w:val="24"/>
                <w:szCs w:val="24"/>
              </w:rPr>
              <w:t>Other</w:t>
            </w:r>
          </w:p>
        </w:tc>
      </w:tr>
      <w:tr w:rsidR="00542F5A" w:rsidRPr="002C44A0" w14:paraId="29D6B04F" w14:textId="77777777">
        <w:tc>
          <w:tcPr>
            <w:tcW w:w="8139" w:type="dxa"/>
          </w:tcPr>
          <w:p w14:paraId="000000A6" w14:textId="77777777" w:rsidR="00542F5A" w:rsidRPr="002C44A0" w:rsidRDefault="00CA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2C44A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  <w:gridSpan w:val="2"/>
          </w:tcPr>
          <w:p w14:paraId="000000A7" w14:textId="77777777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7" w:type="dxa"/>
          </w:tcPr>
          <w:p w14:paraId="000000A9" w14:textId="77777777" w:rsidR="00542F5A" w:rsidRPr="002C44A0" w:rsidRDefault="0054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0000AA" w14:textId="77777777" w:rsidR="00542F5A" w:rsidRPr="002C44A0" w:rsidRDefault="00CA04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C44A0">
        <w:rPr>
          <w:rFonts w:asciiTheme="majorHAnsi" w:hAnsiTheme="majorHAnsi" w:cstheme="majorHAnsi"/>
          <w:sz w:val="24"/>
          <w:szCs w:val="24"/>
        </w:rPr>
        <w:t>Key to assessment methods; (a) application form, (</w:t>
      </w:r>
      <w:proofErr w:type="spellStart"/>
      <w:r w:rsidRPr="002C44A0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2C44A0">
        <w:rPr>
          <w:rFonts w:asciiTheme="majorHAnsi" w:hAnsiTheme="majorHAnsi" w:cstheme="majorHAnsi"/>
          <w:sz w:val="24"/>
          <w:szCs w:val="24"/>
        </w:rPr>
        <w:t>) interview, (r) references, (t) ability tests (q) personality questionnaire (g) assessed group work, (p) presentation, (o) others e.g. case studies/visits</w:t>
      </w:r>
    </w:p>
    <w:sectPr w:rsidR="00542F5A" w:rsidRPr="002C44A0">
      <w:footerReference w:type="default" r:id="rId12"/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A7A4D" w14:textId="77777777" w:rsidR="00332404" w:rsidRDefault="00332404">
      <w:r>
        <w:separator/>
      </w:r>
    </w:p>
  </w:endnote>
  <w:endnote w:type="continuationSeparator" w:id="0">
    <w:p w14:paraId="44825795" w14:textId="77777777" w:rsidR="00332404" w:rsidRDefault="003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B" w14:textId="629C7503" w:rsidR="00542F5A" w:rsidRDefault="00542F5A">
    <w:pPr>
      <w:pBdr>
        <w:top w:val="nil"/>
        <w:left w:val="nil"/>
        <w:bottom w:val="nil"/>
        <w:right w:val="nil"/>
        <w:between w:val="nil"/>
      </w:pBdr>
      <w:spacing w:after="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C6E5B" w14:textId="77777777" w:rsidR="00332404" w:rsidRDefault="00332404">
      <w:r>
        <w:separator/>
      </w:r>
    </w:p>
  </w:footnote>
  <w:footnote w:type="continuationSeparator" w:id="0">
    <w:p w14:paraId="7AA08E2F" w14:textId="77777777" w:rsidR="00332404" w:rsidRDefault="0033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2C9"/>
    <w:multiLevelType w:val="multilevel"/>
    <w:tmpl w:val="57D4DEB0"/>
    <w:lvl w:ilvl="0">
      <w:start w:val="1"/>
      <w:numFmt w:val="decimal"/>
      <w:lvlText w:val="%1."/>
      <w:lvlJc w:val="left"/>
      <w:pPr>
        <w:ind w:left="127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3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3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2237F889"/>
    <w:rsid w:val="002C44A0"/>
    <w:rsid w:val="00332404"/>
    <w:rsid w:val="00542191"/>
    <w:rsid w:val="00542F5A"/>
    <w:rsid w:val="00866884"/>
    <w:rsid w:val="00AC0870"/>
    <w:rsid w:val="00CA04CE"/>
    <w:rsid w:val="2237F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0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6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84"/>
  </w:style>
  <w:style w:type="paragraph" w:styleId="Footer">
    <w:name w:val="footer"/>
    <w:basedOn w:val="Normal"/>
    <w:link w:val="FooterChar"/>
    <w:uiPriority w:val="99"/>
    <w:unhideWhenUsed/>
    <w:rsid w:val="00866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6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84"/>
  </w:style>
  <w:style w:type="paragraph" w:styleId="Footer">
    <w:name w:val="footer"/>
    <w:basedOn w:val="Normal"/>
    <w:link w:val="FooterChar"/>
    <w:uiPriority w:val="99"/>
    <w:unhideWhenUsed/>
    <w:rsid w:val="00866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QWEZD2MZKR4M-600158671-265564</_dlc_DocId>
    <_dlc_DocIdUrl xmlns="a73c4f44-59d3-4782-ad57-7cd8d77cc50e">
      <Url>https://northumberland365.sharepoint.com/sites/HR-HR/_layouts/15/DocIdRedir.aspx?ID=QWEZD2MZKR4M-600158671-265564</Url>
      <Description>QWEZD2MZKR4M-600158671-265564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92" ma:contentTypeDescription="Create a new document." ma:contentTypeScope="" ma:versionID="5c86aa35dd8155590b9b791c2c09728d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56ea1091e57b074c8a2e0e71c6696ba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4E530-F4C4-4730-AE12-7508B3794C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c4f44-59d3-4782-ad57-7cd8d77cc50e"/>
  </ds:schemaRefs>
</ds:datastoreItem>
</file>

<file path=customXml/itemProps2.xml><?xml version="1.0" encoding="utf-8"?>
<ds:datastoreItem xmlns:ds="http://schemas.openxmlformats.org/officeDocument/2006/customXml" ds:itemID="{0D2DBE16-B49F-4982-8B01-ECE507EA6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13C98-3A7B-4C1E-8E03-89A4CACEF8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980C45-17DB-4D97-98AD-9505B3ED4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SG53 Non Supervisory Caretaker (Band 2).doc</vt:lpstr>
    </vt:vector>
  </TitlesOfParts>
  <Company>Northumberland County Council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SG53 Non Supervisory Caretaker (Band 2).doc</dc:title>
  <dc:creator>Jude Long</dc:creator>
  <cp:lastModifiedBy>Long, Jude</cp:lastModifiedBy>
  <cp:revision>3</cp:revision>
  <dcterms:created xsi:type="dcterms:W3CDTF">2021-09-20T12:47:00Z</dcterms:created>
  <dcterms:modified xsi:type="dcterms:W3CDTF">2021-09-20T13:35:00Z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100</vt:r8>
  </property>
  <property fmtid="{D5CDD505-2E9C-101B-9397-08002B2CF9AE}" pid="4" name="_dlc_DocIdItemGuid">
    <vt:lpwstr>344f8482-7f1d-419e-b15a-6e92a3006457</vt:lpwstr>
  </property>
</Properties>
</file>